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AF" w:rsidRDefault="007F75AF"/>
    <w:p w:rsidR="0009028C" w:rsidRPr="0074149E" w:rsidRDefault="0009028C" w:rsidP="0074149E">
      <w:pPr>
        <w:jc w:val="center"/>
        <w:rPr>
          <w:b/>
          <w:sz w:val="48"/>
          <w:szCs w:val="48"/>
        </w:rPr>
      </w:pPr>
      <w:r w:rsidRPr="0074149E">
        <w:rPr>
          <w:b/>
          <w:sz w:val="48"/>
          <w:szCs w:val="48"/>
        </w:rPr>
        <w:t xml:space="preserve">PEST CONTROL </w:t>
      </w:r>
      <w:r w:rsidR="005B5685">
        <w:rPr>
          <w:b/>
          <w:sz w:val="48"/>
          <w:szCs w:val="48"/>
        </w:rPr>
        <w:t>GUIDELINES</w:t>
      </w:r>
    </w:p>
    <w:p w:rsidR="0009028C" w:rsidRDefault="0009028C"/>
    <w:p w:rsidR="0009028C" w:rsidRPr="0074149E" w:rsidRDefault="0009028C" w:rsidP="0009028C">
      <w:pPr>
        <w:pStyle w:val="ListParagraph"/>
        <w:numPr>
          <w:ilvl w:val="0"/>
          <w:numId w:val="1"/>
        </w:numPr>
        <w:rPr>
          <w:b/>
        </w:rPr>
      </w:pPr>
      <w:r w:rsidRPr="0074149E">
        <w:rPr>
          <w:b/>
        </w:rPr>
        <w:t>INTRODUCTION</w:t>
      </w:r>
    </w:p>
    <w:p w:rsidR="0009028C" w:rsidRDefault="0009028C" w:rsidP="0009028C">
      <w:pPr>
        <w:pStyle w:val="ListParagraph"/>
      </w:pPr>
    </w:p>
    <w:p w:rsidR="0009028C" w:rsidRDefault="0009028C" w:rsidP="0009028C">
      <w:pPr>
        <w:pStyle w:val="ListParagraph"/>
        <w:numPr>
          <w:ilvl w:val="1"/>
          <w:numId w:val="1"/>
        </w:numPr>
        <w:rPr>
          <w:rFonts w:eastAsia="Times New Roman"/>
          <w:szCs w:val="24"/>
          <w:lang w:eastAsia="en-GB"/>
        </w:rPr>
      </w:pPr>
      <w:r w:rsidRPr="0009028C">
        <w:rPr>
          <w:rFonts w:eastAsia="Times New Roman"/>
          <w:szCs w:val="24"/>
          <w:lang w:eastAsia="en-GB"/>
        </w:rPr>
        <w:t>T</w:t>
      </w:r>
      <w:r w:rsidR="005B5685">
        <w:rPr>
          <w:rFonts w:eastAsia="Times New Roman"/>
          <w:szCs w:val="24"/>
          <w:lang w:eastAsia="en-GB"/>
        </w:rPr>
        <w:t xml:space="preserve">his guidance </w:t>
      </w:r>
      <w:r w:rsidRPr="0009028C">
        <w:rPr>
          <w:rFonts w:eastAsia="Times New Roman"/>
          <w:szCs w:val="24"/>
          <w:lang w:eastAsia="en-GB"/>
        </w:rPr>
        <w:t>outlines Islington &amp; S</w:t>
      </w:r>
      <w:r w:rsidR="001671C1">
        <w:rPr>
          <w:rFonts w:eastAsia="Times New Roman"/>
          <w:szCs w:val="24"/>
          <w:lang w:eastAsia="en-GB"/>
        </w:rPr>
        <w:t xml:space="preserve">horeditch Housing Association and Lien Viet Housing Association </w:t>
      </w:r>
      <w:r w:rsidRPr="0009028C">
        <w:rPr>
          <w:rFonts w:eastAsia="Times New Roman"/>
          <w:szCs w:val="24"/>
          <w:lang w:eastAsia="en-GB"/>
        </w:rPr>
        <w:t xml:space="preserve">(ISHA’s) approach to dealing with pests in the properties it owns which are occupied by </w:t>
      </w:r>
      <w:r w:rsidR="001C2925">
        <w:rPr>
          <w:rFonts w:eastAsia="Times New Roman"/>
          <w:szCs w:val="24"/>
          <w:lang w:eastAsia="en-GB"/>
        </w:rPr>
        <w:t>tenants</w:t>
      </w:r>
      <w:r w:rsidRPr="0009028C">
        <w:rPr>
          <w:rFonts w:eastAsia="Times New Roman"/>
          <w:szCs w:val="24"/>
          <w:lang w:eastAsia="en-GB"/>
        </w:rPr>
        <w:t>.</w:t>
      </w:r>
    </w:p>
    <w:p w:rsidR="0009028C" w:rsidRDefault="0009028C" w:rsidP="0009028C">
      <w:pPr>
        <w:pStyle w:val="ListParagraph"/>
        <w:rPr>
          <w:rFonts w:eastAsia="Times New Roman"/>
          <w:szCs w:val="24"/>
          <w:lang w:eastAsia="en-GB"/>
        </w:rPr>
      </w:pPr>
    </w:p>
    <w:p w:rsidR="0009028C" w:rsidRDefault="005B5685" w:rsidP="0009028C">
      <w:pPr>
        <w:pStyle w:val="ListParagraph"/>
        <w:numPr>
          <w:ilvl w:val="1"/>
          <w:numId w:val="1"/>
        </w:numPr>
      </w:pPr>
      <w:r>
        <w:rPr>
          <w:rFonts w:eastAsia="Times New Roman"/>
          <w:szCs w:val="24"/>
          <w:lang w:eastAsia="en-GB"/>
        </w:rPr>
        <w:t xml:space="preserve">This guidance </w:t>
      </w:r>
      <w:r w:rsidR="0009028C" w:rsidRPr="0009028C">
        <w:rPr>
          <w:rFonts w:eastAsia="Times New Roman"/>
          <w:szCs w:val="24"/>
          <w:lang w:eastAsia="en-GB"/>
        </w:rPr>
        <w:t>does not apply to ISHA’s commercial tenants</w:t>
      </w:r>
      <w:r w:rsidR="001C2925">
        <w:rPr>
          <w:rFonts w:eastAsia="Times New Roman"/>
          <w:szCs w:val="24"/>
          <w:lang w:eastAsia="en-GB"/>
        </w:rPr>
        <w:t xml:space="preserve"> or leaseholders</w:t>
      </w:r>
      <w:r w:rsidR="0009028C" w:rsidRPr="0009028C">
        <w:rPr>
          <w:rFonts w:eastAsia="Times New Roman"/>
          <w:szCs w:val="24"/>
          <w:lang w:eastAsia="en-GB"/>
        </w:rPr>
        <w:t>. The responsibilities of the Association and the</w:t>
      </w:r>
      <w:r w:rsidR="001C2925">
        <w:rPr>
          <w:rFonts w:eastAsia="Times New Roman"/>
          <w:szCs w:val="24"/>
          <w:lang w:eastAsia="en-GB"/>
        </w:rPr>
        <w:t xml:space="preserve">se customers </w:t>
      </w:r>
      <w:r w:rsidR="0009028C" w:rsidRPr="0009028C">
        <w:rPr>
          <w:rFonts w:eastAsia="Times New Roman"/>
          <w:szCs w:val="24"/>
          <w:lang w:eastAsia="en-GB"/>
        </w:rPr>
        <w:t>are outlined in their individual leases</w:t>
      </w:r>
      <w:r w:rsidR="0009028C" w:rsidRPr="0009028C">
        <w:t xml:space="preserve"> </w:t>
      </w:r>
    </w:p>
    <w:p w:rsidR="0009028C" w:rsidRDefault="0009028C" w:rsidP="0009028C">
      <w:pPr>
        <w:pStyle w:val="ListParagraph"/>
      </w:pPr>
    </w:p>
    <w:p w:rsidR="0009028C" w:rsidRPr="0009028C" w:rsidRDefault="005B5685" w:rsidP="0009028C">
      <w:pPr>
        <w:pStyle w:val="ListParagraph"/>
        <w:numPr>
          <w:ilvl w:val="1"/>
          <w:numId w:val="1"/>
        </w:numPr>
      </w:pPr>
      <w:r>
        <w:t xml:space="preserve">For the purposes of this guidance </w:t>
      </w:r>
      <w:r w:rsidR="0009028C">
        <w:t>a pest is defined as any organism, usually an animal, judged as a threat to humans or to the homes that humans occupy.</w:t>
      </w:r>
    </w:p>
    <w:p w:rsidR="0009028C" w:rsidRPr="0009028C" w:rsidRDefault="0009028C" w:rsidP="0009028C">
      <w:pPr>
        <w:spacing w:line="240" w:lineRule="auto"/>
        <w:rPr>
          <w:rFonts w:eastAsia="Times New Roman"/>
          <w:szCs w:val="24"/>
          <w:lang w:eastAsia="en-GB"/>
        </w:rPr>
      </w:pPr>
    </w:p>
    <w:p w:rsidR="0009028C" w:rsidRPr="0074149E" w:rsidRDefault="0009028C" w:rsidP="0009028C">
      <w:pPr>
        <w:pStyle w:val="ListParagraph"/>
        <w:numPr>
          <w:ilvl w:val="0"/>
          <w:numId w:val="1"/>
        </w:numPr>
        <w:rPr>
          <w:b/>
        </w:rPr>
      </w:pPr>
      <w:r w:rsidRPr="0074149E">
        <w:rPr>
          <w:b/>
        </w:rPr>
        <w:t>AIMS</w:t>
      </w:r>
    </w:p>
    <w:p w:rsidR="0009028C" w:rsidRDefault="0009028C" w:rsidP="0009028C">
      <w:pPr>
        <w:pStyle w:val="ListParagraph"/>
      </w:pPr>
    </w:p>
    <w:p w:rsidR="0009028C" w:rsidRDefault="0009028C" w:rsidP="0009028C">
      <w:pPr>
        <w:pStyle w:val="ListParagraph"/>
        <w:numPr>
          <w:ilvl w:val="1"/>
          <w:numId w:val="1"/>
        </w:numPr>
      </w:pPr>
      <w:r>
        <w:t xml:space="preserve">To deal with pest control in residential properties. </w:t>
      </w:r>
    </w:p>
    <w:p w:rsidR="0009028C" w:rsidRDefault="0009028C" w:rsidP="0009028C">
      <w:pPr>
        <w:pStyle w:val="ListParagraph"/>
      </w:pPr>
    </w:p>
    <w:p w:rsidR="0009028C" w:rsidRDefault="0009028C" w:rsidP="0009028C">
      <w:pPr>
        <w:pStyle w:val="ListParagraph"/>
        <w:numPr>
          <w:ilvl w:val="1"/>
          <w:numId w:val="1"/>
        </w:numPr>
      </w:pPr>
      <w:r>
        <w:t xml:space="preserve"> </w:t>
      </w:r>
      <w:r w:rsidRPr="001C2925">
        <w:rPr>
          <w:rFonts w:eastAsia="Times New Roman"/>
          <w:szCs w:val="24"/>
          <w:lang w:eastAsia="en-GB"/>
        </w:rPr>
        <w:t>Pest control refers to the regulation or management of a species defined as a pest, usually because it is perceived to be detrimental to a person’s health, the ecology or the economy.</w:t>
      </w:r>
    </w:p>
    <w:p w:rsidR="0009028C" w:rsidRDefault="0009028C" w:rsidP="0009028C">
      <w:pPr>
        <w:pStyle w:val="ListParagraph"/>
      </w:pPr>
    </w:p>
    <w:p w:rsidR="0009028C" w:rsidRPr="0074149E" w:rsidRDefault="0009028C" w:rsidP="0009028C">
      <w:pPr>
        <w:pStyle w:val="ListParagraph"/>
        <w:numPr>
          <w:ilvl w:val="0"/>
          <w:numId w:val="1"/>
        </w:numPr>
        <w:rPr>
          <w:b/>
          <w:caps/>
        </w:rPr>
      </w:pPr>
      <w:r w:rsidRPr="0074149E">
        <w:rPr>
          <w:b/>
          <w:caps/>
        </w:rPr>
        <w:t xml:space="preserve">Statutory and regulatory framework </w:t>
      </w:r>
    </w:p>
    <w:p w:rsidR="0009028C" w:rsidRDefault="0009028C" w:rsidP="0009028C">
      <w:pPr>
        <w:pStyle w:val="ListParagraph"/>
        <w:rPr>
          <w:caps/>
        </w:rPr>
      </w:pPr>
    </w:p>
    <w:p w:rsidR="0009028C" w:rsidRPr="0009028C" w:rsidRDefault="0009028C" w:rsidP="0009028C">
      <w:pPr>
        <w:pStyle w:val="ListParagraph"/>
        <w:numPr>
          <w:ilvl w:val="1"/>
          <w:numId w:val="1"/>
        </w:numPr>
        <w:rPr>
          <w:caps/>
        </w:rPr>
      </w:pPr>
      <w:r w:rsidRPr="0009028C">
        <w:rPr>
          <w:rFonts w:eastAsia="Times New Roman"/>
          <w:szCs w:val="24"/>
          <w:lang w:eastAsia="en-GB"/>
        </w:rPr>
        <w:t>The Local Authority has a statutory duty to ensure that its district is kept free from pests such as rats and mice under the Prevention of Damage by Pests Act 1949.</w:t>
      </w:r>
    </w:p>
    <w:p w:rsidR="0009028C" w:rsidRPr="0009028C" w:rsidRDefault="0009028C" w:rsidP="0009028C">
      <w:pPr>
        <w:pStyle w:val="ListParagraph"/>
        <w:rPr>
          <w:caps/>
        </w:rPr>
      </w:pPr>
    </w:p>
    <w:p w:rsidR="0009028C" w:rsidRPr="0009028C" w:rsidRDefault="0009028C" w:rsidP="0009028C">
      <w:pPr>
        <w:pStyle w:val="ListParagraph"/>
        <w:numPr>
          <w:ilvl w:val="1"/>
          <w:numId w:val="1"/>
        </w:numPr>
        <w:rPr>
          <w:caps/>
        </w:rPr>
      </w:pPr>
      <w:r w:rsidRPr="0009028C">
        <w:rPr>
          <w:rFonts w:eastAsia="Times New Roman"/>
          <w:szCs w:val="24"/>
          <w:lang w:eastAsia="en-GB"/>
        </w:rPr>
        <w:t>The Public Health Act 1936 gives the Local Authority powers to act to kill and remove vermin. The Public Health Act 1961 gives further powers to the Local Authority to deal with nuisance caused by feral pigeons and certain other birds.</w:t>
      </w:r>
    </w:p>
    <w:p w:rsidR="0009028C" w:rsidRPr="0009028C" w:rsidRDefault="0009028C" w:rsidP="0009028C">
      <w:pPr>
        <w:pStyle w:val="ListParagraph"/>
        <w:rPr>
          <w:rFonts w:eastAsia="Times New Roman"/>
          <w:szCs w:val="24"/>
          <w:lang w:eastAsia="en-GB"/>
        </w:rPr>
      </w:pPr>
    </w:p>
    <w:p w:rsidR="0009028C" w:rsidRPr="0009028C" w:rsidRDefault="0009028C" w:rsidP="0009028C">
      <w:pPr>
        <w:pStyle w:val="ListParagraph"/>
        <w:numPr>
          <w:ilvl w:val="1"/>
          <w:numId w:val="1"/>
        </w:numPr>
        <w:rPr>
          <w:caps/>
        </w:rPr>
      </w:pPr>
      <w:r w:rsidRPr="0009028C">
        <w:rPr>
          <w:rFonts w:eastAsia="Times New Roman"/>
          <w:szCs w:val="24"/>
          <w:lang w:eastAsia="en-GB"/>
        </w:rPr>
        <w:t xml:space="preserve"> The Wildlife and Countryside Act 1981 (WCA) as amended gives special protection to certain wild animals and the Local Authorities are therefore prohibited from intentionally killing, injuring or disturbing bats, crickets, sand lizards, slow worms, snakes and common frogs &amp; toads.</w:t>
      </w:r>
    </w:p>
    <w:p w:rsidR="0009028C" w:rsidRPr="0009028C" w:rsidRDefault="0009028C" w:rsidP="0009028C">
      <w:pPr>
        <w:pStyle w:val="ListParagraph"/>
        <w:rPr>
          <w:rFonts w:eastAsia="Times New Roman"/>
          <w:szCs w:val="24"/>
          <w:lang w:eastAsia="en-GB"/>
        </w:rPr>
      </w:pPr>
    </w:p>
    <w:p w:rsidR="0009028C" w:rsidRPr="0009028C" w:rsidRDefault="0009028C" w:rsidP="0009028C">
      <w:pPr>
        <w:pStyle w:val="ListParagraph"/>
        <w:numPr>
          <w:ilvl w:val="1"/>
          <w:numId w:val="1"/>
        </w:numPr>
        <w:rPr>
          <w:caps/>
        </w:rPr>
      </w:pPr>
      <w:r w:rsidRPr="0009028C">
        <w:rPr>
          <w:rFonts w:eastAsia="Times New Roman"/>
          <w:szCs w:val="24"/>
          <w:lang w:eastAsia="en-GB"/>
        </w:rPr>
        <w:t xml:space="preserve"> Some infestations can cause a statutory nuisance. These commonly include rats, mice, pharaoh ants and cockroaches.</w:t>
      </w:r>
    </w:p>
    <w:p w:rsidR="0009028C" w:rsidRPr="0009028C" w:rsidRDefault="0009028C" w:rsidP="0009028C">
      <w:pPr>
        <w:pStyle w:val="ListParagraph"/>
        <w:rPr>
          <w:caps/>
        </w:rPr>
      </w:pPr>
    </w:p>
    <w:p w:rsidR="0009028C" w:rsidRPr="0074149E" w:rsidRDefault="001671C1" w:rsidP="0009028C">
      <w:pPr>
        <w:pStyle w:val="ListParagraph"/>
        <w:numPr>
          <w:ilvl w:val="0"/>
          <w:numId w:val="1"/>
        </w:numPr>
        <w:rPr>
          <w:b/>
          <w:caps/>
        </w:rPr>
      </w:pPr>
      <w:r w:rsidRPr="0074149E">
        <w:rPr>
          <w:b/>
          <w:caps/>
        </w:rPr>
        <w:t>DeTAILS</w:t>
      </w:r>
    </w:p>
    <w:p w:rsidR="0009028C" w:rsidRDefault="0009028C" w:rsidP="0009028C">
      <w:pPr>
        <w:pStyle w:val="ListParagraph"/>
        <w:rPr>
          <w:caps/>
        </w:rPr>
      </w:pPr>
    </w:p>
    <w:p w:rsidR="0009028C" w:rsidRPr="0009028C" w:rsidRDefault="0009028C" w:rsidP="0009028C">
      <w:pPr>
        <w:pStyle w:val="ListParagraph"/>
        <w:numPr>
          <w:ilvl w:val="1"/>
          <w:numId w:val="1"/>
        </w:numPr>
        <w:rPr>
          <w:caps/>
        </w:rPr>
      </w:pPr>
      <w:r w:rsidRPr="00893C71">
        <w:t xml:space="preserve">In the first instance </w:t>
      </w:r>
      <w:r>
        <w:t>customers</w:t>
      </w:r>
      <w:r w:rsidRPr="00893C71">
        <w:t xml:space="preserve"> will be expected to </w:t>
      </w:r>
      <w:r>
        <w:t xml:space="preserve">seek advice and </w:t>
      </w:r>
      <w:r w:rsidRPr="00893C71">
        <w:t xml:space="preserve">take their own action to deal with any pests or infestation. This could include setting </w:t>
      </w:r>
      <w:r>
        <w:t xml:space="preserve">mousetraps etc. but excludes directly employing pest control services. If it is immediately clear that the infestation is such that </w:t>
      </w:r>
      <w:r w:rsidR="001671C1">
        <w:t xml:space="preserve">customer’s </w:t>
      </w:r>
      <w:r>
        <w:t xml:space="preserve">action will not be sufficient </w:t>
      </w:r>
      <w:r w:rsidR="001C2925">
        <w:t xml:space="preserve">then </w:t>
      </w:r>
      <w:smartTag w:uri="urn:schemas-microsoft-com:office:smarttags" w:element="PersonName">
        <w:r>
          <w:t>ISHA</w:t>
        </w:r>
      </w:smartTag>
      <w:r>
        <w:t xml:space="preserve"> should be contacted.</w:t>
      </w:r>
    </w:p>
    <w:p w:rsidR="0009028C" w:rsidRPr="0009028C" w:rsidRDefault="0009028C" w:rsidP="0009028C">
      <w:pPr>
        <w:pStyle w:val="ListParagraph"/>
        <w:rPr>
          <w:caps/>
        </w:rPr>
      </w:pPr>
    </w:p>
    <w:p w:rsidR="001671C1" w:rsidRPr="001671C1" w:rsidRDefault="0009028C" w:rsidP="001671C1">
      <w:pPr>
        <w:pStyle w:val="ListParagraph"/>
        <w:numPr>
          <w:ilvl w:val="1"/>
          <w:numId w:val="1"/>
        </w:numPr>
        <w:rPr>
          <w:caps/>
        </w:rPr>
      </w:pPr>
      <w:r>
        <w:t xml:space="preserve">Before </w:t>
      </w:r>
      <w:smartTag w:uri="urn:schemas-microsoft-com:office:smarttags" w:element="PersonName">
        <w:r>
          <w:t>ISHA</w:t>
        </w:r>
      </w:smartTag>
      <w:r>
        <w:t xml:space="preserve"> intervenes all services provided without charge by the local authority must be exhausted.</w:t>
      </w:r>
    </w:p>
    <w:p w:rsidR="001671C1" w:rsidRDefault="001671C1" w:rsidP="001671C1">
      <w:pPr>
        <w:pStyle w:val="ListParagraph"/>
      </w:pPr>
    </w:p>
    <w:p w:rsidR="001671C1" w:rsidRPr="001C2925" w:rsidRDefault="0009028C" w:rsidP="001671C1">
      <w:pPr>
        <w:pStyle w:val="ListParagraph"/>
        <w:numPr>
          <w:ilvl w:val="1"/>
          <w:numId w:val="1"/>
        </w:numPr>
        <w:rPr>
          <w:caps/>
        </w:rPr>
      </w:pPr>
      <w:r w:rsidRPr="00893C71">
        <w:t>ISHA will deliver a service to deal with infestations of rats, mice</w:t>
      </w:r>
      <w:r>
        <w:t>,</w:t>
      </w:r>
      <w:r w:rsidRPr="00893C71">
        <w:t xml:space="preserve"> pharaoh ants</w:t>
      </w:r>
      <w:r>
        <w:t>, cockroaches</w:t>
      </w:r>
      <w:r w:rsidR="001C2925">
        <w:t xml:space="preserve">, bed bugs </w:t>
      </w:r>
      <w:r>
        <w:t>and any other pest that could cause a statutory nuisance</w:t>
      </w:r>
      <w:r w:rsidRPr="00893C71">
        <w:t>. Th</w:t>
      </w:r>
      <w:r>
        <w:t xml:space="preserve">e service </w:t>
      </w:r>
      <w:r w:rsidRPr="00893C71">
        <w:t>could include delivering treatments and</w:t>
      </w:r>
      <w:r>
        <w:t>,</w:t>
      </w:r>
      <w:r w:rsidRPr="00893C71">
        <w:t xml:space="preserve"> </w:t>
      </w:r>
      <w:r>
        <w:t xml:space="preserve">if there are any defects to the property allowing pests to get inside, carrying out </w:t>
      </w:r>
      <w:r w:rsidRPr="00893C71">
        <w:t xml:space="preserve">proofing works to stop </w:t>
      </w:r>
      <w:r>
        <w:t>access</w:t>
      </w:r>
      <w:r w:rsidRPr="00893C71">
        <w:t>.</w:t>
      </w:r>
      <w:r>
        <w:t xml:space="preserve"> If a problem occurs in a new property and is as a result of a building defect, costs will be recharged to the</w:t>
      </w:r>
      <w:r w:rsidR="001671C1">
        <w:t xml:space="preserve"> </w:t>
      </w:r>
      <w:r w:rsidR="001C2925">
        <w:t>development contractor</w:t>
      </w:r>
      <w:r>
        <w:t xml:space="preserve"> if it is within the defects period.</w:t>
      </w:r>
    </w:p>
    <w:p w:rsidR="001C2925" w:rsidRPr="001C2925" w:rsidRDefault="001C2925" w:rsidP="001C2925">
      <w:pPr>
        <w:pStyle w:val="ListParagraph"/>
        <w:rPr>
          <w:caps/>
        </w:rPr>
      </w:pPr>
    </w:p>
    <w:p w:rsidR="001C2925" w:rsidRPr="001671C1" w:rsidRDefault="001C2925" w:rsidP="001671C1">
      <w:pPr>
        <w:pStyle w:val="ListParagraph"/>
        <w:numPr>
          <w:ilvl w:val="1"/>
          <w:numId w:val="1"/>
        </w:numPr>
        <w:rPr>
          <w:caps/>
        </w:rPr>
      </w:pPr>
      <w:r>
        <w:t>In some instances it may be necessary for the customer to carry out work to help with the eradication of pests e.g. removal of a mattress infested with bed bugs.  In these circumstances the customer will be expected to carry out any recommendations made by the pest controller before ISHA will continue with treatment.</w:t>
      </w:r>
    </w:p>
    <w:p w:rsidR="001671C1" w:rsidRDefault="001671C1" w:rsidP="001671C1">
      <w:pPr>
        <w:pStyle w:val="ListParagraph"/>
      </w:pPr>
    </w:p>
    <w:p w:rsidR="001671C1" w:rsidRPr="001671C1" w:rsidRDefault="0009028C" w:rsidP="001671C1">
      <w:pPr>
        <w:pStyle w:val="ListParagraph"/>
        <w:numPr>
          <w:ilvl w:val="1"/>
          <w:numId w:val="1"/>
        </w:numPr>
        <w:rPr>
          <w:caps/>
        </w:rPr>
      </w:pPr>
      <w:r w:rsidRPr="00893C71">
        <w:lastRenderedPageBreak/>
        <w:t xml:space="preserve">ISHA will not treat infestations of </w:t>
      </w:r>
      <w:r>
        <w:t xml:space="preserve">wasps, </w:t>
      </w:r>
      <w:r w:rsidR="001C2925" w:rsidRPr="00893C71">
        <w:t>moths’</w:t>
      </w:r>
      <w:r w:rsidRPr="00893C71">
        <w:t xml:space="preserve"> </w:t>
      </w:r>
      <w:r w:rsidR="001C2925">
        <w:t>ants, spiders or other small insects without</w:t>
      </w:r>
      <w:r>
        <w:t xml:space="preserve"> charge</w:t>
      </w:r>
      <w:r w:rsidRPr="00893C71">
        <w:t>.</w:t>
      </w:r>
      <w:r>
        <w:t xml:space="preserve"> The local authority may provide services for these pests but may also charge. ISHA will however provide information regarding services provided by Local Authorities.</w:t>
      </w:r>
    </w:p>
    <w:p w:rsidR="001671C1" w:rsidRDefault="001671C1" w:rsidP="001671C1">
      <w:pPr>
        <w:pStyle w:val="ListParagraph"/>
      </w:pPr>
    </w:p>
    <w:p w:rsidR="001671C1" w:rsidRPr="001671C1" w:rsidRDefault="0009028C" w:rsidP="001671C1">
      <w:pPr>
        <w:pStyle w:val="ListParagraph"/>
        <w:numPr>
          <w:ilvl w:val="1"/>
          <w:numId w:val="1"/>
        </w:numPr>
        <w:rPr>
          <w:caps/>
        </w:rPr>
      </w:pPr>
      <w:r>
        <w:t xml:space="preserve"> </w:t>
      </w:r>
      <w:r w:rsidRPr="00893C71">
        <w:t xml:space="preserve">If, in the opinion of contractors or staff, </w:t>
      </w:r>
      <w:r>
        <w:t xml:space="preserve">any </w:t>
      </w:r>
      <w:r w:rsidRPr="00893C71">
        <w:t xml:space="preserve">infestation </w:t>
      </w:r>
      <w:r>
        <w:t xml:space="preserve">treated </w:t>
      </w:r>
      <w:r w:rsidRPr="00893C71">
        <w:t>is the result of</w:t>
      </w:r>
      <w:r>
        <w:t xml:space="preserve"> the actions of the </w:t>
      </w:r>
      <w:r w:rsidR="001671C1">
        <w:t xml:space="preserve">customer or a member of their household </w:t>
      </w:r>
      <w:r>
        <w:t>the</w:t>
      </w:r>
      <w:r w:rsidRPr="00893C71">
        <w:t xml:space="preserve"> charge </w:t>
      </w:r>
      <w:r>
        <w:t>for any treatment and</w:t>
      </w:r>
      <w:r w:rsidR="001671C1">
        <w:t>/or works will be made to that customer</w:t>
      </w:r>
      <w:r>
        <w:t xml:space="preserve">. </w:t>
      </w:r>
      <w:r w:rsidRPr="00893C71">
        <w:t>Contract</w:t>
      </w:r>
      <w:r>
        <w:t>o</w:t>
      </w:r>
      <w:r w:rsidRPr="00893C71">
        <w:t>rs, Surveyors</w:t>
      </w:r>
      <w:r>
        <w:t xml:space="preserve">, </w:t>
      </w:r>
      <w:r w:rsidR="001671C1">
        <w:t xml:space="preserve">Neighbourhood </w:t>
      </w:r>
      <w:r>
        <w:t>Officers,</w:t>
      </w:r>
      <w:r w:rsidRPr="00893C71">
        <w:t xml:space="preserve"> </w:t>
      </w:r>
      <w:r w:rsidR="001671C1">
        <w:t xml:space="preserve">Housing Experts, or Specialist Housing Officer </w:t>
      </w:r>
      <w:r w:rsidRPr="00893C71">
        <w:t>can make this decision after visiting the property where th</w:t>
      </w:r>
      <w:r>
        <w:t>e infestation has been reported</w:t>
      </w:r>
      <w:r w:rsidRPr="00893C71">
        <w:t xml:space="preserve">. </w:t>
      </w:r>
    </w:p>
    <w:p w:rsidR="001671C1" w:rsidRDefault="001671C1" w:rsidP="001671C1">
      <w:pPr>
        <w:pStyle w:val="ListParagraph"/>
      </w:pPr>
    </w:p>
    <w:p w:rsidR="001671C1" w:rsidRPr="001671C1" w:rsidRDefault="001671C1" w:rsidP="001671C1">
      <w:pPr>
        <w:pStyle w:val="ListParagraph"/>
        <w:numPr>
          <w:ilvl w:val="1"/>
          <w:numId w:val="1"/>
        </w:numPr>
        <w:rPr>
          <w:caps/>
        </w:rPr>
      </w:pPr>
      <w:r w:rsidRPr="00893C71">
        <w:t xml:space="preserve">ISHA will deal with infestations that affect communal areas. If any infestation in communal areas or properties is </w:t>
      </w:r>
      <w:r>
        <w:t>cause</w:t>
      </w:r>
      <w:r w:rsidR="00890C4E">
        <w:t>d by the lifestyle of any customer</w:t>
      </w:r>
      <w:r>
        <w:t xml:space="preserve"> then that customer may </w:t>
      </w:r>
      <w:r w:rsidRPr="00893C71">
        <w:t>be recharged.</w:t>
      </w:r>
    </w:p>
    <w:p w:rsidR="001671C1" w:rsidRPr="001671C1" w:rsidRDefault="001671C1" w:rsidP="001671C1">
      <w:pPr>
        <w:pStyle w:val="ListParagraph"/>
        <w:rPr>
          <w:caps/>
        </w:rPr>
      </w:pPr>
    </w:p>
    <w:p w:rsidR="001671C1" w:rsidRPr="0074149E" w:rsidRDefault="001671C1" w:rsidP="001671C1">
      <w:pPr>
        <w:pStyle w:val="ListParagraph"/>
        <w:numPr>
          <w:ilvl w:val="0"/>
          <w:numId w:val="1"/>
        </w:numPr>
        <w:rPr>
          <w:b/>
          <w:caps/>
        </w:rPr>
      </w:pPr>
      <w:r w:rsidRPr="0074149E">
        <w:rPr>
          <w:b/>
          <w:caps/>
        </w:rPr>
        <w:t>HEA</w:t>
      </w:r>
      <w:r w:rsidR="001C2925">
        <w:rPr>
          <w:b/>
          <w:caps/>
        </w:rPr>
        <w:t>l</w:t>
      </w:r>
      <w:r w:rsidRPr="0074149E">
        <w:rPr>
          <w:b/>
          <w:caps/>
        </w:rPr>
        <w:t>th &amp; SAFETY</w:t>
      </w:r>
    </w:p>
    <w:p w:rsidR="001671C1" w:rsidRPr="001671C1" w:rsidRDefault="001671C1" w:rsidP="001671C1">
      <w:pPr>
        <w:pStyle w:val="ListParagraph"/>
        <w:rPr>
          <w:caps/>
        </w:rPr>
      </w:pPr>
    </w:p>
    <w:p w:rsidR="000D1F67" w:rsidRDefault="000D1F67" w:rsidP="001671C1">
      <w:pPr>
        <w:pStyle w:val="ListParagraph"/>
        <w:numPr>
          <w:ilvl w:val="1"/>
          <w:numId w:val="1"/>
        </w:numPr>
      </w:pPr>
      <w:r w:rsidRPr="000D1F67">
        <w:t xml:space="preserve">Wild rats can carry </w:t>
      </w:r>
      <w:r>
        <w:t>diseases which are harmful to people and mice can cause contamination to food when in the home.  The sprea</w:t>
      </w:r>
      <w:r w:rsidR="00890C4E">
        <w:t xml:space="preserve">d of pests such as cockroaches </w:t>
      </w:r>
      <w:r>
        <w:t xml:space="preserve">and bed bugs can be prolific if not treated.  </w:t>
      </w:r>
    </w:p>
    <w:p w:rsidR="000D1F67" w:rsidRDefault="000D1F67" w:rsidP="000D1F67">
      <w:pPr>
        <w:pStyle w:val="ListParagraph"/>
      </w:pPr>
    </w:p>
    <w:p w:rsidR="001671C1" w:rsidRPr="000D1F67" w:rsidRDefault="000D1F67" w:rsidP="001671C1">
      <w:pPr>
        <w:pStyle w:val="ListParagraph"/>
        <w:numPr>
          <w:ilvl w:val="1"/>
          <w:numId w:val="1"/>
        </w:numPr>
      </w:pPr>
      <w:r>
        <w:t xml:space="preserve">ISHA will always use trained pest controllers to deal with the eradication of pests. </w:t>
      </w:r>
    </w:p>
    <w:p w:rsidR="0074149E" w:rsidRDefault="0074149E" w:rsidP="0074149E">
      <w:pPr>
        <w:ind w:left="360"/>
        <w:rPr>
          <w:caps/>
        </w:rPr>
      </w:pPr>
    </w:p>
    <w:p w:rsidR="0074149E" w:rsidRPr="0074149E" w:rsidRDefault="0074149E" w:rsidP="0074149E">
      <w:pPr>
        <w:pStyle w:val="ListParagraph"/>
        <w:numPr>
          <w:ilvl w:val="0"/>
          <w:numId w:val="1"/>
        </w:numPr>
        <w:rPr>
          <w:b/>
          <w:caps/>
        </w:rPr>
      </w:pPr>
      <w:r w:rsidRPr="0074149E">
        <w:rPr>
          <w:b/>
          <w:caps/>
        </w:rPr>
        <w:t>EQUALITY AND DIVERSITY</w:t>
      </w:r>
    </w:p>
    <w:p w:rsidR="0074149E" w:rsidRPr="0074149E" w:rsidRDefault="0074149E" w:rsidP="0074149E">
      <w:pPr>
        <w:pStyle w:val="ListParagraph"/>
        <w:rPr>
          <w:caps/>
        </w:rPr>
      </w:pPr>
    </w:p>
    <w:p w:rsidR="0074149E" w:rsidRDefault="0074149E" w:rsidP="0074149E">
      <w:pPr>
        <w:pStyle w:val="ListParagraph"/>
        <w:numPr>
          <w:ilvl w:val="1"/>
          <w:numId w:val="1"/>
        </w:numPr>
      </w:pPr>
      <w:r>
        <w:t xml:space="preserve">Exemptions </w:t>
      </w:r>
      <w:r w:rsidR="005B5685">
        <w:t>can</w:t>
      </w:r>
      <w:r w:rsidRPr="00893C71">
        <w:t xml:space="preserve"> be made</w:t>
      </w:r>
      <w:r>
        <w:t xml:space="preserve"> to this </w:t>
      </w:r>
      <w:r w:rsidR="005B5685">
        <w:t xml:space="preserve">guidance </w:t>
      </w:r>
      <w:r>
        <w:t xml:space="preserve">for vulnerable customers for the treatment of pests which would not normally be covered by this </w:t>
      </w:r>
      <w:r w:rsidR="005B5685">
        <w:t>guidance</w:t>
      </w:r>
      <w:r>
        <w:t xml:space="preserve"> or where a recharge would normally be appropriate</w:t>
      </w:r>
      <w:r w:rsidRPr="00893C71">
        <w:t xml:space="preserve">. </w:t>
      </w:r>
      <w:bookmarkStart w:id="0" w:name="_GoBack"/>
      <w:bookmarkEnd w:id="0"/>
      <w:r w:rsidR="00890C4E" w:rsidRPr="00893C71">
        <w:t>Exemptions are</w:t>
      </w:r>
      <w:r>
        <w:t xml:space="preserve"> at the </w:t>
      </w:r>
      <w:r w:rsidRPr="00893C71">
        <w:t xml:space="preserve">discretion of </w:t>
      </w:r>
      <w:r>
        <w:t xml:space="preserve">a Head of </w:t>
      </w:r>
      <w:r w:rsidR="005B5685">
        <w:t>Service</w:t>
      </w:r>
      <w:r>
        <w:t xml:space="preserve">, Neighbourhood </w:t>
      </w:r>
      <w:r w:rsidR="005B5685">
        <w:t>Services Manager</w:t>
      </w:r>
      <w:r>
        <w:t xml:space="preserve"> and </w:t>
      </w:r>
      <w:r w:rsidR="005B5685">
        <w:t xml:space="preserve">the </w:t>
      </w:r>
      <w:r>
        <w:t>Specialist Housing Manager.</w:t>
      </w:r>
    </w:p>
    <w:p w:rsidR="0074149E" w:rsidRDefault="0074149E" w:rsidP="005B5685">
      <w:pPr>
        <w:ind w:left="360"/>
        <w:rPr>
          <w:caps/>
        </w:rPr>
      </w:pPr>
      <w:r>
        <w:rPr>
          <w:caps/>
        </w:rPr>
        <w:t xml:space="preserve"> </w:t>
      </w:r>
    </w:p>
    <w:p w:rsidR="005B5685" w:rsidRDefault="005B5685" w:rsidP="005B5685">
      <w:pPr>
        <w:ind w:left="360"/>
        <w:rPr>
          <w:caps/>
        </w:rPr>
      </w:pPr>
    </w:p>
    <w:p w:rsidR="005B5685" w:rsidRPr="0074149E" w:rsidRDefault="005B5685" w:rsidP="005B5685">
      <w:pPr>
        <w:ind w:left="360"/>
        <w:rPr>
          <w:caps/>
        </w:rPr>
      </w:pPr>
    </w:p>
    <w:p w:rsidR="001671C1" w:rsidRPr="0074149E" w:rsidRDefault="0074149E" w:rsidP="0074149E">
      <w:pPr>
        <w:pStyle w:val="ListParagraph"/>
        <w:numPr>
          <w:ilvl w:val="0"/>
          <w:numId w:val="1"/>
        </w:numPr>
        <w:rPr>
          <w:b/>
          <w:caps/>
        </w:rPr>
      </w:pPr>
      <w:r w:rsidRPr="0074149E">
        <w:rPr>
          <w:b/>
          <w:caps/>
        </w:rPr>
        <w:lastRenderedPageBreak/>
        <w:t>MONIToring</w:t>
      </w:r>
    </w:p>
    <w:p w:rsidR="0074149E" w:rsidRPr="0074149E" w:rsidRDefault="0074149E" w:rsidP="0074149E">
      <w:pPr>
        <w:pStyle w:val="ListParagraph"/>
        <w:rPr>
          <w:b/>
          <w:caps/>
        </w:rPr>
      </w:pPr>
    </w:p>
    <w:p w:rsidR="0074149E" w:rsidRDefault="0074149E" w:rsidP="0074149E">
      <w:pPr>
        <w:pStyle w:val="ListParagraph"/>
        <w:numPr>
          <w:ilvl w:val="1"/>
          <w:numId w:val="1"/>
        </w:numPr>
      </w:pPr>
      <w:r w:rsidRPr="0074149E">
        <w:t>The cost of pest control will be</w:t>
      </w:r>
      <w:r>
        <w:t xml:space="preserve"> </w:t>
      </w:r>
      <w:r w:rsidRPr="0074149E">
        <w:t>monitored</w:t>
      </w:r>
      <w:r>
        <w:t xml:space="preserve"> by the Head of C</w:t>
      </w:r>
      <w:r w:rsidR="00EB5DC0">
        <w:t>ustomer Neighbourhoods</w:t>
      </w:r>
      <w:r>
        <w:t>.</w:t>
      </w:r>
      <w:r w:rsidRPr="0074149E">
        <w:t xml:space="preserve"> </w:t>
      </w:r>
    </w:p>
    <w:p w:rsidR="0074149E" w:rsidRDefault="0074149E" w:rsidP="0074149E">
      <w:pPr>
        <w:pStyle w:val="ListParagraph"/>
      </w:pPr>
    </w:p>
    <w:p w:rsidR="0074149E" w:rsidRPr="0074149E" w:rsidRDefault="0074149E" w:rsidP="0074149E">
      <w:pPr>
        <w:pStyle w:val="ListParagraph"/>
        <w:numPr>
          <w:ilvl w:val="0"/>
          <w:numId w:val="1"/>
        </w:numPr>
        <w:rPr>
          <w:b/>
        </w:rPr>
      </w:pPr>
      <w:r w:rsidRPr="0074149E">
        <w:rPr>
          <w:b/>
        </w:rPr>
        <w:t>REVIEW</w:t>
      </w:r>
    </w:p>
    <w:p w:rsidR="0074149E" w:rsidRDefault="0074149E" w:rsidP="0074149E">
      <w:pPr>
        <w:pStyle w:val="ListParagraph"/>
      </w:pPr>
    </w:p>
    <w:p w:rsidR="0074149E" w:rsidRPr="0074149E" w:rsidRDefault="0074149E" w:rsidP="0074149E">
      <w:pPr>
        <w:pStyle w:val="ListParagraph"/>
        <w:numPr>
          <w:ilvl w:val="1"/>
          <w:numId w:val="1"/>
        </w:numPr>
      </w:pPr>
      <w:r>
        <w:t xml:space="preserve">This </w:t>
      </w:r>
      <w:r w:rsidR="005B5685">
        <w:t>guidance</w:t>
      </w:r>
      <w:r>
        <w:t xml:space="preserve"> will be reviewed within five years or sooner if the statutory duty to deal with pests changes. </w:t>
      </w:r>
    </w:p>
    <w:p w:rsidR="0009028C" w:rsidRDefault="0009028C" w:rsidP="0074149E">
      <w:pPr>
        <w:pStyle w:val="ListParagraph"/>
      </w:pPr>
    </w:p>
    <w:p w:rsidR="0009028C" w:rsidRPr="0009028C" w:rsidRDefault="0009028C" w:rsidP="0009028C">
      <w:pPr>
        <w:pStyle w:val="ListParagraph"/>
        <w:rPr>
          <w:caps/>
        </w:rPr>
      </w:pPr>
    </w:p>
    <w:p w:rsidR="0009028C" w:rsidRPr="0009028C" w:rsidRDefault="0009028C" w:rsidP="0009028C">
      <w:pPr>
        <w:rPr>
          <w:caps/>
        </w:rPr>
      </w:pPr>
    </w:p>
    <w:p w:rsidR="0009028C" w:rsidRPr="0009028C" w:rsidRDefault="0009028C" w:rsidP="0009028C">
      <w:pPr>
        <w:spacing w:line="240" w:lineRule="auto"/>
        <w:rPr>
          <w:rFonts w:eastAsia="Times New Roman"/>
          <w:szCs w:val="24"/>
          <w:lang w:eastAsia="en-GB"/>
        </w:rPr>
      </w:pPr>
    </w:p>
    <w:p w:rsidR="0009028C" w:rsidRPr="0009028C" w:rsidRDefault="0009028C" w:rsidP="0009028C">
      <w:pPr>
        <w:rPr>
          <w:caps/>
        </w:rPr>
      </w:pPr>
    </w:p>
    <w:sectPr w:rsidR="0009028C" w:rsidRPr="000902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8C" w:rsidRDefault="0009028C" w:rsidP="0009028C">
      <w:pPr>
        <w:spacing w:line="240" w:lineRule="auto"/>
      </w:pPr>
      <w:r>
        <w:separator/>
      </w:r>
    </w:p>
  </w:endnote>
  <w:endnote w:type="continuationSeparator" w:id="0">
    <w:p w:rsidR="0009028C" w:rsidRDefault="0009028C" w:rsidP="00090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E" w:rsidRDefault="0074149E">
    <w:pPr>
      <w:pStyle w:val="Foote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985"/>
      <w:gridCol w:w="1813"/>
      <w:gridCol w:w="1455"/>
      <w:gridCol w:w="1573"/>
      <w:gridCol w:w="1386"/>
    </w:tblGrid>
    <w:tr w:rsidR="0074149E" w:rsidRPr="0074149E" w:rsidTr="000B23CE">
      <w:trPr>
        <w:trHeight w:val="367"/>
      </w:trPr>
      <w:tc>
        <w:tcPr>
          <w:tcW w:w="2676"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Reference</w:t>
          </w:r>
        </w:p>
      </w:tc>
      <w:tc>
        <w:tcPr>
          <w:tcW w:w="985"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Version</w:t>
          </w:r>
        </w:p>
      </w:tc>
      <w:tc>
        <w:tcPr>
          <w:tcW w:w="1813"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Created</w:t>
          </w:r>
        </w:p>
      </w:tc>
      <w:tc>
        <w:tcPr>
          <w:tcW w:w="1455" w:type="dxa"/>
        </w:tcPr>
        <w:p w:rsidR="0074149E" w:rsidRPr="0074149E" w:rsidRDefault="0074149E" w:rsidP="0074149E">
          <w:pPr>
            <w:tabs>
              <w:tab w:val="center" w:pos="4513"/>
              <w:tab w:val="right" w:pos="9026"/>
            </w:tabs>
            <w:spacing w:line="240" w:lineRule="auto"/>
            <w:jc w:val="both"/>
            <w:rPr>
              <w:rFonts w:eastAsia="Calibri"/>
              <w:b/>
              <w:sz w:val="20"/>
            </w:rPr>
          </w:pPr>
        </w:p>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Author</w:t>
          </w:r>
        </w:p>
      </w:tc>
      <w:tc>
        <w:tcPr>
          <w:tcW w:w="1573"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Review</w:t>
          </w:r>
        </w:p>
      </w:tc>
      <w:tc>
        <w:tcPr>
          <w:tcW w:w="1386"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b/>
              <w:sz w:val="20"/>
            </w:rPr>
          </w:pPr>
          <w:r w:rsidRPr="0074149E">
            <w:rPr>
              <w:rFonts w:eastAsia="Calibri"/>
              <w:b/>
              <w:sz w:val="20"/>
            </w:rPr>
            <w:t>Board Approved</w:t>
          </w:r>
        </w:p>
      </w:tc>
    </w:tr>
    <w:tr w:rsidR="0074149E" w:rsidRPr="0074149E" w:rsidTr="000B23CE">
      <w:trPr>
        <w:trHeight w:val="367"/>
      </w:trPr>
      <w:tc>
        <w:tcPr>
          <w:tcW w:w="2676" w:type="dxa"/>
          <w:shd w:val="clear" w:color="auto" w:fill="auto"/>
          <w:vAlign w:val="center"/>
        </w:tcPr>
        <w:p w:rsidR="0074149E" w:rsidRPr="0074149E" w:rsidRDefault="0074149E" w:rsidP="0074149E">
          <w:pPr>
            <w:tabs>
              <w:tab w:val="center" w:pos="4513"/>
              <w:tab w:val="right" w:pos="9026"/>
            </w:tabs>
            <w:spacing w:line="240" w:lineRule="auto"/>
            <w:rPr>
              <w:rFonts w:eastAsia="Calibri"/>
              <w:sz w:val="20"/>
            </w:rPr>
          </w:pPr>
          <w:r>
            <w:rPr>
              <w:rFonts w:eastAsia="Calibri"/>
              <w:sz w:val="20"/>
            </w:rPr>
            <w:t>Pest Control</w:t>
          </w:r>
        </w:p>
      </w:tc>
      <w:tc>
        <w:tcPr>
          <w:tcW w:w="985"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sz w:val="20"/>
            </w:rPr>
          </w:pPr>
          <w:r w:rsidRPr="0074149E">
            <w:rPr>
              <w:rFonts w:eastAsia="Calibri"/>
              <w:sz w:val="20"/>
            </w:rPr>
            <w:t>1</w:t>
          </w:r>
        </w:p>
      </w:tc>
      <w:tc>
        <w:tcPr>
          <w:tcW w:w="1813"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sz w:val="20"/>
            </w:rPr>
          </w:pPr>
          <w:r>
            <w:rPr>
              <w:rFonts w:eastAsia="Calibri"/>
              <w:sz w:val="20"/>
            </w:rPr>
            <w:t>May 2017</w:t>
          </w:r>
        </w:p>
      </w:tc>
      <w:tc>
        <w:tcPr>
          <w:tcW w:w="1455" w:type="dxa"/>
        </w:tcPr>
        <w:p w:rsidR="0074149E" w:rsidRPr="0074149E" w:rsidRDefault="0074149E" w:rsidP="0074149E">
          <w:pPr>
            <w:tabs>
              <w:tab w:val="center" w:pos="4513"/>
              <w:tab w:val="right" w:pos="9026"/>
            </w:tabs>
            <w:spacing w:line="240" w:lineRule="auto"/>
            <w:jc w:val="both"/>
            <w:rPr>
              <w:rFonts w:eastAsia="Calibri"/>
              <w:sz w:val="20"/>
            </w:rPr>
          </w:pPr>
          <w:r>
            <w:rPr>
              <w:rFonts w:eastAsia="Calibri"/>
              <w:sz w:val="20"/>
            </w:rPr>
            <w:t>Deeion Sharpe</w:t>
          </w:r>
        </w:p>
      </w:tc>
      <w:tc>
        <w:tcPr>
          <w:tcW w:w="1573"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sz w:val="20"/>
            </w:rPr>
          </w:pPr>
          <w:r>
            <w:rPr>
              <w:rFonts w:eastAsia="Calibri"/>
              <w:sz w:val="20"/>
            </w:rPr>
            <w:t>May  2022</w:t>
          </w:r>
        </w:p>
      </w:tc>
      <w:tc>
        <w:tcPr>
          <w:tcW w:w="1386" w:type="dxa"/>
          <w:shd w:val="clear" w:color="auto" w:fill="auto"/>
          <w:vAlign w:val="center"/>
        </w:tcPr>
        <w:p w:rsidR="0074149E" w:rsidRPr="0074149E" w:rsidRDefault="0074149E" w:rsidP="0074149E">
          <w:pPr>
            <w:tabs>
              <w:tab w:val="center" w:pos="4513"/>
              <w:tab w:val="right" w:pos="9026"/>
            </w:tabs>
            <w:spacing w:line="240" w:lineRule="auto"/>
            <w:jc w:val="both"/>
            <w:rPr>
              <w:rFonts w:eastAsia="Calibri"/>
              <w:sz w:val="20"/>
            </w:rPr>
          </w:pPr>
        </w:p>
      </w:tc>
    </w:tr>
  </w:tbl>
  <w:p w:rsidR="0074149E" w:rsidRDefault="0074149E">
    <w:pPr>
      <w:pStyle w:val="Footer"/>
    </w:pPr>
  </w:p>
  <w:p w:rsidR="0074149E" w:rsidRDefault="0074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8C" w:rsidRDefault="0009028C" w:rsidP="0009028C">
      <w:pPr>
        <w:spacing w:line="240" w:lineRule="auto"/>
      </w:pPr>
      <w:r>
        <w:separator/>
      </w:r>
    </w:p>
  </w:footnote>
  <w:footnote w:type="continuationSeparator" w:id="0">
    <w:p w:rsidR="0009028C" w:rsidRDefault="0009028C" w:rsidP="000902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8C" w:rsidRDefault="0009028C">
    <w:pPr>
      <w:pStyle w:val="Header"/>
    </w:pPr>
    <w:r>
      <w:rPr>
        <w:noProof/>
        <w:lang w:eastAsia="en-GB"/>
      </w:rPr>
      <w:drawing>
        <wp:inline distT="0" distB="0" distL="0" distR="0" wp14:anchorId="18232066" wp14:editId="169EB842">
          <wp:extent cx="6261659" cy="1438275"/>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87" b="21028"/>
                  <a:stretch>
                    <a:fillRect/>
                  </a:stretch>
                </pic:blipFill>
                <pic:spPr bwMode="auto">
                  <a:xfrm>
                    <a:off x="0" y="0"/>
                    <a:ext cx="6271434" cy="1440520"/>
                  </a:xfrm>
                  <a:prstGeom prst="rect">
                    <a:avLst/>
                  </a:prstGeom>
                  <a:noFill/>
                  <a:ln>
                    <a:noFill/>
                  </a:ln>
                </pic:spPr>
              </pic:pic>
            </a:graphicData>
          </a:graphic>
        </wp:inline>
      </w:drawing>
    </w:r>
  </w:p>
  <w:p w:rsidR="0009028C" w:rsidRDefault="00090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1957"/>
    <w:multiLevelType w:val="multilevel"/>
    <w:tmpl w:val="FF10C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C"/>
    <w:rsid w:val="00002421"/>
    <w:rsid w:val="000026B5"/>
    <w:rsid w:val="000068E9"/>
    <w:rsid w:val="000152FC"/>
    <w:rsid w:val="0003325D"/>
    <w:rsid w:val="00035106"/>
    <w:rsid w:val="00055FB8"/>
    <w:rsid w:val="0006516C"/>
    <w:rsid w:val="00065C73"/>
    <w:rsid w:val="0007112C"/>
    <w:rsid w:val="0008686C"/>
    <w:rsid w:val="0009028C"/>
    <w:rsid w:val="00097CD0"/>
    <w:rsid w:val="000A0C30"/>
    <w:rsid w:val="000B11EE"/>
    <w:rsid w:val="000C1442"/>
    <w:rsid w:val="000C16D2"/>
    <w:rsid w:val="000C34F7"/>
    <w:rsid w:val="000D1F67"/>
    <w:rsid w:val="000D281E"/>
    <w:rsid w:val="000E6D4D"/>
    <w:rsid w:val="000F3A61"/>
    <w:rsid w:val="001043C6"/>
    <w:rsid w:val="0011547D"/>
    <w:rsid w:val="00120D01"/>
    <w:rsid w:val="001316B2"/>
    <w:rsid w:val="0014649D"/>
    <w:rsid w:val="00164884"/>
    <w:rsid w:val="001671C1"/>
    <w:rsid w:val="00170DC1"/>
    <w:rsid w:val="0018014C"/>
    <w:rsid w:val="001979DD"/>
    <w:rsid w:val="001B1CD6"/>
    <w:rsid w:val="001B6B6E"/>
    <w:rsid w:val="001C1256"/>
    <w:rsid w:val="001C2925"/>
    <w:rsid w:val="001E64C8"/>
    <w:rsid w:val="00203B5F"/>
    <w:rsid w:val="00217D0D"/>
    <w:rsid w:val="0022399F"/>
    <w:rsid w:val="00227C8A"/>
    <w:rsid w:val="0024700A"/>
    <w:rsid w:val="0027636D"/>
    <w:rsid w:val="00281DD4"/>
    <w:rsid w:val="00282131"/>
    <w:rsid w:val="00295CB2"/>
    <w:rsid w:val="002A62B7"/>
    <w:rsid w:val="002B6D13"/>
    <w:rsid w:val="002C54D6"/>
    <w:rsid w:val="002E49E0"/>
    <w:rsid w:val="002F760B"/>
    <w:rsid w:val="003003B1"/>
    <w:rsid w:val="00302BD5"/>
    <w:rsid w:val="003139BD"/>
    <w:rsid w:val="003177CB"/>
    <w:rsid w:val="00323B80"/>
    <w:rsid w:val="0033014B"/>
    <w:rsid w:val="003359BD"/>
    <w:rsid w:val="00340961"/>
    <w:rsid w:val="00346351"/>
    <w:rsid w:val="00365B0C"/>
    <w:rsid w:val="00370C6C"/>
    <w:rsid w:val="00380C4A"/>
    <w:rsid w:val="0039133C"/>
    <w:rsid w:val="00397F4D"/>
    <w:rsid w:val="003A0433"/>
    <w:rsid w:val="003D0066"/>
    <w:rsid w:val="003D1973"/>
    <w:rsid w:val="003D4337"/>
    <w:rsid w:val="003E2463"/>
    <w:rsid w:val="003F7D05"/>
    <w:rsid w:val="00407A67"/>
    <w:rsid w:val="00423A77"/>
    <w:rsid w:val="00424BAC"/>
    <w:rsid w:val="004274FB"/>
    <w:rsid w:val="00427C19"/>
    <w:rsid w:val="004411A3"/>
    <w:rsid w:val="00443E11"/>
    <w:rsid w:val="004556B0"/>
    <w:rsid w:val="00465888"/>
    <w:rsid w:val="00477C05"/>
    <w:rsid w:val="00482A95"/>
    <w:rsid w:val="004A2478"/>
    <w:rsid w:val="004C60E7"/>
    <w:rsid w:val="004C667A"/>
    <w:rsid w:val="004E1E01"/>
    <w:rsid w:val="004E79CC"/>
    <w:rsid w:val="004F1D3E"/>
    <w:rsid w:val="004F6A44"/>
    <w:rsid w:val="0054029F"/>
    <w:rsid w:val="00562FA8"/>
    <w:rsid w:val="005662B8"/>
    <w:rsid w:val="00575EB8"/>
    <w:rsid w:val="005777E7"/>
    <w:rsid w:val="00585F9F"/>
    <w:rsid w:val="0059492E"/>
    <w:rsid w:val="005A4DC7"/>
    <w:rsid w:val="005B057B"/>
    <w:rsid w:val="005B5685"/>
    <w:rsid w:val="005D6191"/>
    <w:rsid w:val="005F02B2"/>
    <w:rsid w:val="005F2ADE"/>
    <w:rsid w:val="00613060"/>
    <w:rsid w:val="006131F0"/>
    <w:rsid w:val="0061700E"/>
    <w:rsid w:val="006261B0"/>
    <w:rsid w:val="00640B40"/>
    <w:rsid w:val="0064378F"/>
    <w:rsid w:val="00646BE0"/>
    <w:rsid w:val="00651ECC"/>
    <w:rsid w:val="00653272"/>
    <w:rsid w:val="00667353"/>
    <w:rsid w:val="00675A4D"/>
    <w:rsid w:val="006800AE"/>
    <w:rsid w:val="00682415"/>
    <w:rsid w:val="00684C41"/>
    <w:rsid w:val="006957BF"/>
    <w:rsid w:val="006F2BB4"/>
    <w:rsid w:val="006F4C50"/>
    <w:rsid w:val="00711C11"/>
    <w:rsid w:val="00724DD6"/>
    <w:rsid w:val="00724E77"/>
    <w:rsid w:val="007356BB"/>
    <w:rsid w:val="00740A74"/>
    <w:rsid w:val="0074106E"/>
    <w:rsid w:val="0074149E"/>
    <w:rsid w:val="007518F8"/>
    <w:rsid w:val="00755A8B"/>
    <w:rsid w:val="00757DCD"/>
    <w:rsid w:val="00776D3D"/>
    <w:rsid w:val="0078164B"/>
    <w:rsid w:val="007844FB"/>
    <w:rsid w:val="007960DC"/>
    <w:rsid w:val="007C34D3"/>
    <w:rsid w:val="007D6277"/>
    <w:rsid w:val="007E3251"/>
    <w:rsid w:val="007E3C07"/>
    <w:rsid w:val="007E4A2C"/>
    <w:rsid w:val="007F146B"/>
    <w:rsid w:val="007F52C0"/>
    <w:rsid w:val="007F75AF"/>
    <w:rsid w:val="00805851"/>
    <w:rsid w:val="0081269D"/>
    <w:rsid w:val="008148FA"/>
    <w:rsid w:val="00824559"/>
    <w:rsid w:val="00830122"/>
    <w:rsid w:val="008349BF"/>
    <w:rsid w:val="00834B42"/>
    <w:rsid w:val="00847CF8"/>
    <w:rsid w:val="0086280B"/>
    <w:rsid w:val="008707D8"/>
    <w:rsid w:val="00871496"/>
    <w:rsid w:val="00876193"/>
    <w:rsid w:val="008839C0"/>
    <w:rsid w:val="00890C4E"/>
    <w:rsid w:val="0089555A"/>
    <w:rsid w:val="008A4E96"/>
    <w:rsid w:val="008A50C7"/>
    <w:rsid w:val="008C165E"/>
    <w:rsid w:val="008C59A2"/>
    <w:rsid w:val="008D0D85"/>
    <w:rsid w:val="008E5DAC"/>
    <w:rsid w:val="008F732A"/>
    <w:rsid w:val="00914631"/>
    <w:rsid w:val="00916437"/>
    <w:rsid w:val="009177E2"/>
    <w:rsid w:val="00934F71"/>
    <w:rsid w:val="00941B6E"/>
    <w:rsid w:val="00946B80"/>
    <w:rsid w:val="009525B2"/>
    <w:rsid w:val="00954E8C"/>
    <w:rsid w:val="00966C45"/>
    <w:rsid w:val="0097072D"/>
    <w:rsid w:val="00974ADA"/>
    <w:rsid w:val="009A4FFE"/>
    <w:rsid w:val="009D585A"/>
    <w:rsid w:val="009D5E6D"/>
    <w:rsid w:val="009E5AA7"/>
    <w:rsid w:val="00A00483"/>
    <w:rsid w:val="00A17F76"/>
    <w:rsid w:val="00A30312"/>
    <w:rsid w:val="00A3280F"/>
    <w:rsid w:val="00A479DD"/>
    <w:rsid w:val="00A50593"/>
    <w:rsid w:val="00A63C79"/>
    <w:rsid w:val="00A8745B"/>
    <w:rsid w:val="00A9552B"/>
    <w:rsid w:val="00AA3AF0"/>
    <w:rsid w:val="00AA4D68"/>
    <w:rsid w:val="00AB021B"/>
    <w:rsid w:val="00AB1CAE"/>
    <w:rsid w:val="00AE1993"/>
    <w:rsid w:val="00B0720C"/>
    <w:rsid w:val="00B22687"/>
    <w:rsid w:val="00B246D1"/>
    <w:rsid w:val="00B33FB6"/>
    <w:rsid w:val="00B3439C"/>
    <w:rsid w:val="00B373A6"/>
    <w:rsid w:val="00B43B4E"/>
    <w:rsid w:val="00B82814"/>
    <w:rsid w:val="00B84FC9"/>
    <w:rsid w:val="00BA42C5"/>
    <w:rsid w:val="00BC5FD1"/>
    <w:rsid w:val="00BE3DFE"/>
    <w:rsid w:val="00BE607B"/>
    <w:rsid w:val="00BF786F"/>
    <w:rsid w:val="00C06BD2"/>
    <w:rsid w:val="00C1152D"/>
    <w:rsid w:val="00C5283A"/>
    <w:rsid w:val="00C61743"/>
    <w:rsid w:val="00C83FBE"/>
    <w:rsid w:val="00C9637E"/>
    <w:rsid w:val="00CB4B07"/>
    <w:rsid w:val="00CB6663"/>
    <w:rsid w:val="00CD248E"/>
    <w:rsid w:val="00CD4545"/>
    <w:rsid w:val="00CD7BDA"/>
    <w:rsid w:val="00CE120F"/>
    <w:rsid w:val="00CE3C5B"/>
    <w:rsid w:val="00CE5AF6"/>
    <w:rsid w:val="00CF5316"/>
    <w:rsid w:val="00D00CF5"/>
    <w:rsid w:val="00D052E2"/>
    <w:rsid w:val="00D06605"/>
    <w:rsid w:val="00D15FE4"/>
    <w:rsid w:val="00D2511D"/>
    <w:rsid w:val="00D31668"/>
    <w:rsid w:val="00D45649"/>
    <w:rsid w:val="00D50D88"/>
    <w:rsid w:val="00D6174B"/>
    <w:rsid w:val="00D63D29"/>
    <w:rsid w:val="00D71AFC"/>
    <w:rsid w:val="00DA2062"/>
    <w:rsid w:val="00DA3227"/>
    <w:rsid w:val="00DB0412"/>
    <w:rsid w:val="00DB6434"/>
    <w:rsid w:val="00DB7B3D"/>
    <w:rsid w:val="00DC04AA"/>
    <w:rsid w:val="00DC0885"/>
    <w:rsid w:val="00DC6B91"/>
    <w:rsid w:val="00DD6102"/>
    <w:rsid w:val="00DE720F"/>
    <w:rsid w:val="00DF5DFB"/>
    <w:rsid w:val="00DF7EF6"/>
    <w:rsid w:val="00E01912"/>
    <w:rsid w:val="00E24500"/>
    <w:rsid w:val="00E26541"/>
    <w:rsid w:val="00E43B33"/>
    <w:rsid w:val="00E66C13"/>
    <w:rsid w:val="00E70C1C"/>
    <w:rsid w:val="00E74474"/>
    <w:rsid w:val="00E979F0"/>
    <w:rsid w:val="00EA1EC0"/>
    <w:rsid w:val="00EA6BF7"/>
    <w:rsid w:val="00EB589D"/>
    <w:rsid w:val="00EB5DC0"/>
    <w:rsid w:val="00ED37DE"/>
    <w:rsid w:val="00ED5495"/>
    <w:rsid w:val="00EF2406"/>
    <w:rsid w:val="00F05114"/>
    <w:rsid w:val="00F34EC8"/>
    <w:rsid w:val="00F446DD"/>
    <w:rsid w:val="00F56A9E"/>
    <w:rsid w:val="00F64320"/>
    <w:rsid w:val="00F64A2A"/>
    <w:rsid w:val="00F762DE"/>
    <w:rsid w:val="00F83E31"/>
    <w:rsid w:val="00F9137E"/>
    <w:rsid w:val="00F938E7"/>
    <w:rsid w:val="00F9713A"/>
    <w:rsid w:val="00FA08C8"/>
    <w:rsid w:val="00FA1E8E"/>
    <w:rsid w:val="00FC5D6A"/>
    <w:rsid w:val="00FC7792"/>
    <w:rsid w:val="00FD6CA1"/>
    <w:rsid w:val="00FD7688"/>
    <w:rsid w:val="00FE27A9"/>
    <w:rsid w:val="00FF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8C"/>
    <w:rPr>
      <w:rFonts w:ascii="Tahoma" w:hAnsi="Tahoma" w:cs="Tahoma"/>
      <w:sz w:val="16"/>
      <w:szCs w:val="16"/>
    </w:rPr>
  </w:style>
  <w:style w:type="paragraph" w:styleId="Header">
    <w:name w:val="header"/>
    <w:basedOn w:val="Normal"/>
    <w:link w:val="HeaderChar"/>
    <w:uiPriority w:val="99"/>
    <w:unhideWhenUsed/>
    <w:rsid w:val="0009028C"/>
    <w:pPr>
      <w:tabs>
        <w:tab w:val="center" w:pos="4513"/>
        <w:tab w:val="right" w:pos="9026"/>
      </w:tabs>
      <w:spacing w:line="240" w:lineRule="auto"/>
    </w:pPr>
  </w:style>
  <w:style w:type="character" w:customStyle="1" w:styleId="HeaderChar">
    <w:name w:val="Header Char"/>
    <w:basedOn w:val="DefaultParagraphFont"/>
    <w:link w:val="Header"/>
    <w:uiPriority w:val="99"/>
    <w:rsid w:val="0009028C"/>
  </w:style>
  <w:style w:type="paragraph" w:styleId="Footer">
    <w:name w:val="footer"/>
    <w:basedOn w:val="Normal"/>
    <w:link w:val="FooterChar"/>
    <w:uiPriority w:val="99"/>
    <w:unhideWhenUsed/>
    <w:rsid w:val="0009028C"/>
    <w:pPr>
      <w:tabs>
        <w:tab w:val="center" w:pos="4513"/>
        <w:tab w:val="right" w:pos="9026"/>
      </w:tabs>
      <w:spacing w:line="240" w:lineRule="auto"/>
    </w:pPr>
  </w:style>
  <w:style w:type="character" w:customStyle="1" w:styleId="FooterChar">
    <w:name w:val="Footer Char"/>
    <w:basedOn w:val="DefaultParagraphFont"/>
    <w:link w:val="Footer"/>
    <w:uiPriority w:val="99"/>
    <w:rsid w:val="0009028C"/>
  </w:style>
  <w:style w:type="paragraph" w:styleId="ListParagraph">
    <w:name w:val="List Paragraph"/>
    <w:basedOn w:val="Normal"/>
    <w:uiPriority w:val="34"/>
    <w:qFormat/>
    <w:rsid w:val="0009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8C"/>
    <w:rPr>
      <w:rFonts w:ascii="Tahoma" w:hAnsi="Tahoma" w:cs="Tahoma"/>
      <w:sz w:val="16"/>
      <w:szCs w:val="16"/>
    </w:rPr>
  </w:style>
  <w:style w:type="paragraph" w:styleId="Header">
    <w:name w:val="header"/>
    <w:basedOn w:val="Normal"/>
    <w:link w:val="HeaderChar"/>
    <w:uiPriority w:val="99"/>
    <w:unhideWhenUsed/>
    <w:rsid w:val="0009028C"/>
    <w:pPr>
      <w:tabs>
        <w:tab w:val="center" w:pos="4513"/>
        <w:tab w:val="right" w:pos="9026"/>
      </w:tabs>
      <w:spacing w:line="240" w:lineRule="auto"/>
    </w:pPr>
  </w:style>
  <w:style w:type="character" w:customStyle="1" w:styleId="HeaderChar">
    <w:name w:val="Header Char"/>
    <w:basedOn w:val="DefaultParagraphFont"/>
    <w:link w:val="Header"/>
    <w:uiPriority w:val="99"/>
    <w:rsid w:val="0009028C"/>
  </w:style>
  <w:style w:type="paragraph" w:styleId="Footer">
    <w:name w:val="footer"/>
    <w:basedOn w:val="Normal"/>
    <w:link w:val="FooterChar"/>
    <w:uiPriority w:val="99"/>
    <w:unhideWhenUsed/>
    <w:rsid w:val="0009028C"/>
    <w:pPr>
      <w:tabs>
        <w:tab w:val="center" w:pos="4513"/>
        <w:tab w:val="right" w:pos="9026"/>
      </w:tabs>
      <w:spacing w:line="240" w:lineRule="auto"/>
    </w:pPr>
  </w:style>
  <w:style w:type="character" w:customStyle="1" w:styleId="FooterChar">
    <w:name w:val="Footer Char"/>
    <w:basedOn w:val="DefaultParagraphFont"/>
    <w:link w:val="Footer"/>
    <w:uiPriority w:val="99"/>
    <w:rsid w:val="0009028C"/>
  </w:style>
  <w:style w:type="paragraph" w:styleId="ListParagraph">
    <w:name w:val="List Paragraph"/>
    <w:basedOn w:val="Normal"/>
    <w:uiPriority w:val="34"/>
    <w:qFormat/>
    <w:rsid w:val="0009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4C76-8EA3-4178-B039-753FBD57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Deeion Sharpe</dc:creator>
  <cp:lastModifiedBy>Holly Donald</cp:lastModifiedBy>
  <cp:revision>3</cp:revision>
  <cp:lastPrinted>2017-05-24T13:10:00Z</cp:lastPrinted>
  <dcterms:created xsi:type="dcterms:W3CDTF">2017-08-09T13:00:00Z</dcterms:created>
  <dcterms:modified xsi:type="dcterms:W3CDTF">2017-08-09T15:26:00Z</dcterms:modified>
</cp:coreProperties>
</file>